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DC229F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DC229F" w:rsidRPr="00DC229F" w:rsidRDefault="00DC229F" w:rsidP="00DC229F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26.10.2016 №32 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№5, школа мистецтв №4) та оновлення музичного інструментарію. </w:t>
      </w:r>
    </w:p>
    <w:p w:rsidR="009E781D" w:rsidRPr="00CE0F83" w:rsidRDefault="009E781D" w:rsidP="002A5C6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E0F83">
        <w:rPr>
          <w:sz w:val="28"/>
          <w:szCs w:val="28"/>
          <w:lang w:val="uk-UA"/>
        </w:rPr>
        <w:t xml:space="preserve">Книжкові фонди бібліотек щорічно зменшуються через недостатнє фінансування. Потребують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412E8F" w:rsidRPr="00CE0F83" w:rsidRDefault="00412E8F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</w:t>
      </w:r>
      <w:r w:rsidR="00A8605B" w:rsidRPr="00A8605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язку із 100% зношеністю комп</w:t>
      </w:r>
      <w:r w:rsidR="00A8605B" w:rsidRPr="00A8605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 xml:space="preserve">ютерної техніки та її кількісною недостатністю для всіх працівників в апараті управління культури і мистецтв </w:t>
      </w:r>
      <w:r>
        <w:rPr>
          <w:color w:val="000000"/>
          <w:sz w:val="28"/>
          <w:szCs w:val="28"/>
        </w:rPr>
        <w:lastRenderedPageBreak/>
        <w:t>виникла необхідність в придбанні нової оргтехніки. Це дасть змогу автоматизувати документообіг</w:t>
      </w:r>
      <w:r w:rsidR="002437D0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спросить процес складання звітності. </w:t>
      </w:r>
    </w:p>
    <w:p w:rsidR="009E781D" w:rsidRPr="00CE0F83" w:rsidRDefault="00D23A6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Pr="00CE0F83">
        <w:rPr>
          <w:i/>
          <w:color w:val="000000"/>
          <w:sz w:val="28"/>
          <w:szCs w:val="28"/>
        </w:rPr>
        <w:t>принципів</w:t>
      </w:r>
      <w:r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4B5070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комісію Запорізької міської ради з гуманітарних питань та управління культури і мистецтв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58" w:rsidRDefault="00133158" w:rsidP="00786AFB">
      <w:r>
        <w:separator/>
      </w:r>
    </w:p>
  </w:endnote>
  <w:endnote w:type="continuationSeparator" w:id="0">
    <w:p w:rsidR="00133158" w:rsidRDefault="00133158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58" w:rsidRDefault="00133158" w:rsidP="00786AFB">
      <w:r>
        <w:separator/>
      </w:r>
    </w:p>
  </w:footnote>
  <w:footnote w:type="continuationSeparator" w:id="0">
    <w:p w:rsidR="00133158" w:rsidRDefault="00133158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229F" w:rsidRPr="00DC229F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E4CAA"/>
    <w:rsid w:val="000E5431"/>
    <w:rsid w:val="000E721B"/>
    <w:rsid w:val="000F0042"/>
    <w:rsid w:val="000F0275"/>
    <w:rsid w:val="000F4297"/>
    <w:rsid w:val="00111AA6"/>
    <w:rsid w:val="001308F1"/>
    <w:rsid w:val="001327FE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6D12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229F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CCBB7"/>
  <w15:docId w15:val="{F9CD2EE3-87F0-4042-AF28-6F3371B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CD71-D33B-46B0-91BA-FD658D06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267</cp:revision>
  <cp:lastPrinted>2016-10-10T07:22:00Z</cp:lastPrinted>
  <dcterms:created xsi:type="dcterms:W3CDTF">2013-01-23T07:50:00Z</dcterms:created>
  <dcterms:modified xsi:type="dcterms:W3CDTF">2016-11-01T08:02:00Z</dcterms:modified>
</cp:coreProperties>
</file>